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B7 – Communication to the Board (Formerly B-2)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General Manager must not cause or allow the Board to be uninformed or unsupported in its work.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GM must not: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 Submit monitoring reports that are untimely or inaccurate, or that lack operational definitions and verifiable data directly related to each section of the policy. 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 Report in an untimely manner any actual or anticipated noncompliance with any Board policy, along with a plan for reaching compliance and a proposed schedule regarding follow-up reporting.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3. Allow the Board to be unaware of relevant legal actions, media coverage, trends, public events of the Cooperative, or internal and external changes.   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4. Withhold from the Board relevant information from or about key partners including NCG, including (but not limited to): reports about industry trends, operational audits, risk assessment and joint liability, program participation, and member agreements.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5. Withhold an opinion if the GM believes the Board is not in compliance with its own policies on Governance Process and Board-Management Delegation, particularly in the case of Board behavior that is detrimental to the work relationship between the Board and the GM.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6. Deal with the Board in a way that favors or privileges certain directors over others except when responding to officers or committees duly charged by the Board. 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72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